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18" w:rsidRDefault="00D45118"/>
    <w:p w:rsidR="00825B78" w:rsidRPr="00825B78" w:rsidRDefault="00825B78" w:rsidP="00825B78">
      <w:pPr>
        <w:jc w:val="center"/>
        <w:rPr>
          <w:sz w:val="28"/>
          <w:highlight w:val="lightGray"/>
        </w:rPr>
      </w:pPr>
      <w:r w:rsidRPr="00825B78">
        <w:rPr>
          <w:sz w:val="28"/>
          <w:highlight w:val="lightGray"/>
        </w:rPr>
        <w:t>COMMUNIQUE DE PRESSE</w:t>
      </w:r>
    </w:p>
    <w:p w:rsidR="00BC2151" w:rsidRDefault="00825B78" w:rsidP="00825B78">
      <w:pPr>
        <w:jc w:val="center"/>
        <w:rPr>
          <w:sz w:val="28"/>
        </w:rPr>
      </w:pPr>
      <w:r w:rsidRPr="00825B78">
        <w:rPr>
          <w:sz w:val="28"/>
          <w:highlight w:val="lightGray"/>
        </w:rPr>
        <w:t>NOUVEAUX POUVOIRS DE L’INSPECTION DU TRAVAIL</w:t>
      </w:r>
    </w:p>
    <w:p w:rsidR="00DE1625" w:rsidRDefault="00DE1625" w:rsidP="00825B78">
      <w:pPr>
        <w:jc w:val="center"/>
        <w:rPr>
          <w:sz w:val="28"/>
        </w:rPr>
      </w:pPr>
    </w:p>
    <w:p w:rsidR="00DE1625" w:rsidRPr="00DE1625" w:rsidRDefault="00DE1625" w:rsidP="00DE1625">
      <w:pPr>
        <w:jc w:val="center"/>
        <w:rPr>
          <w:sz w:val="28"/>
        </w:rPr>
      </w:pPr>
      <w:r w:rsidRPr="00DE1625">
        <w:rPr>
          <w:sz w:val="28"/>
        </w:rPr>
        <w:t xml:space="preserve">Signature convention entre le </w:t>
      </w:r>
      <w:r>
        <w:rPr>
          <w:sz w:val="28"/>
        </w:rPr>
        <w:t>P</w:t>
      </w:r>
      <w:r w:rsidRPr="00DE1625">
        <w:rPr>
          <w:sz w:val="28"/>
        </w:rPr>
        <w:t xml:space="preserve">arquet et </w:t>
      </w:r>
    </w:p>
    <w:p w:rsidR="00DE1625" w:rsidRPr="00DE1625" w:rsidRDefault="00DE1625" w:rsidP="00DE1625">
      <w:pPr>
        <w:jc w:val="center"/>
        <w:rPr>
          <w:sz w:val="28"/>
        </w:rPr>
      </w:pPr>
      <w:r>
        <w:rPr>
          <w:sz w:val="28"/>
        </w:rPr>
        <w:t>L</w:t>
      </w:r>
      <w:r w:rsidRPr="00DE1625">
        <w:rPr>
          <w:sz w:val="28"/>
        </w:rPr>
        <w:t xml:space="preserve">’unité départementale du Loir-et-Cher de la DIRECCTE-Centre Val de Loire </w:t>
      </w:r>
    </w:p>
    <w:p w:rsidR="00DE1625" w:rsidRPr="00DE1625" w:rsidRDefault="00DE1625" w:rsidP="00DE1625">
      <w:pPr>
        <w:jc w:val="center"/>
        <w:rPr>
          <w:b/>
          <w:sz w:val="28"/>
        </w:rPr>
      </w:pPr>
      <w:r w:rsidRPr="00DE1625">
        <w:rPr>
          <w:b/>
          <w:sz w:val="28"/>
        </w:rPr>
        <w:t>Le mardi 14 mars 2017</w:t>
      </w:r>
    </w:p>
    <w:p w:rsidR="00825B78" w:rsidRDefault="00825B78" w:rsidP="00825B78">
      <w:pPr>
        <w:pStyle w:val="Default"/>
        <w:jc w:val="both"/>
        <w:rPr>
          <w:sz w:val="20"/>
          <w:szCs w:val="20"/>
        </w:rPr>
      </w:pPr>
    </w:p>
    <w:p w:rsidR="00BC2151" w:rsidRPr="00825B78" w:rsidRDefault="00825B78" w:rsidP="00825B78">
      <w:pPr>
        <w:pStyle w:val="Default"/>
        <w:jc w:val="both"/>
        <w:rPr>
          <w:sz w:val="22"/>
          <w:szCs w:val="22"/>
        </w:rPr>
      </w:pPr>
      <w:r w:rsidRPr="00825B78">
        <w:rPr>
          <w:bCs/>
          <w:sz w:val="22"/>
          <w:szCs w:val="22"/>
        </w:rPr>
        <w:t>La convention signée entre l’</w:t>
      </w:r>
      <w:r w:rsidR="00DE1625">
        <w:rPr>
          <w:bCs/>
          <w:sz w:val="22"/>
          <w:szCs w:val="22"/>
        </w:rPr>
        <w:t>u</w:t>
      </w:r>
      <w:r w:rsidRPr="00825B78">
        <w:rPr>
          <w:bCs/>
          <w:sz w:val="22"/>
          <w:szCs w:val="22"/>
        </w:rPr>
        <w:t xml:space="preserve">nité </w:t>
      </w:r>
      <w:r w:rsidR="00DE1625">
        <w:rPr>
          <w:bCs/>
          <w:sz w:val="22"/>
          <w:szCs w:val="22"/>
        </w:rPr>
        <w:t>d</w:t>
      </w:r>
      <w:r w:rsidRPr="00825B78">
        <w:rPr>
          <w:bCs/>
          <w:sz w:val="22"/>
          <w:szCs w:val="22"/>
        </w:rPr>
        <w:t xml:space="preserve">épartementale du Loir-et-Cher de la DIRECCTE Centre-Val de Loire et le </w:t>
      </w:r>
      <w:r w:rsidR="00DE1625">
        <w:rPr>
          <w:bCs/>
          <w:sz w:val="22"/>
          <w:szCs w:val="22"/>
        </w:rPr>
        <w:t>p</w:t>
      </w:r>
      <w:r w:rsidRPr="00825B78">
        <w:rPr>
          <w:bCs/>
          <w:sz w:val="22"/>
          <w:szCs w:val="22"/>
        </w:rPr>
        <w:t>arquet de Blois portant sur le traitement des infractions pénales prévues par le code du travail et dont le contrôle incombe aux agents de l’inspection du travail s’inscrit dans la continuité de la</w:t>
      </w:r>
      <w:r w:rsidRPr="00825B78">
        <w:rPr>
          <w:b/>
          <w:bCs/>
          <w:sz w:val="22"/>
          <w:szCs w:val="22"/>
        </w:rPr>
        <w:t xml:space="preserve"> publication, </w:t>
      </w:r>
      <w:r w:rsidR="00BC2151" w:rsidRPr="00825B78">
        <w:rPr>
          <w:b/>
          <w:bCs/>
          <w:sz w:val="22"/>
          <w:szCs w:val="22"/>
        </w:rPr>
        <w:t>le 7 avril 2016</w:t>
      </w:r>
      <w:r w:rsidRPr="00825B78">
        <w:rPr>
          <w:b/>
          <w:bCs/>
          <w:sz w:val="22"/>
          <w:szCs w:val="22"/>
        </w:rPr>
        <w:t>,</w:t>
      </w:r>
      <w:r w:rsidR="00BC2151" w:rsidRPr="00825B78">
        <w:rPr>
          <w:b/>
          <w:bCs/>
          <w:sz w:val="22"/>
          <w:szCs w:val="22"/>
        </w:rPr>
        <w:t xml:space="preserve"> de l’ordonnance relative au contrôle de l’application du droit du travail </w:t>
      </w:r>
      <w:r w:rsidR="00BC2151" w:rsidRPr="00825B78">
        <w:rPr>
          <w:sz w:val="22"/>
          <w:szCs w:val="22"/>
        </w:rPr>
        <w:t xml:space="preserve">(ratifiée par la loi travail publiée au JO du 9 août 2016). Elle marque un renforcement des compétences et des pouvoirs du système d’inspection sans équivalent au niveau européen. </w:t>
      </w:r>
    </w:p>
    <w:p w:rsidR="00BC2151" w:rsidRPr="00825B78" w:rsidRDefault="00BC2151" w:rsidP="00825B78">
      <w:pPr>
        <w:pStyle w:val="Default"/>
        <w:jc w:val="both"/>
        <w:rPr>
          <w:sz w:val="22"/>
          <w:szCs w:val="22"/>
        </w:rPr>
      </w:pPr>
    </w:p>
    <w:p w:rsidR="00BC2151" w:rsidRPr="00825B78" w:rsidRDefault="00BC2151" w:rsidP="00825B78">
      <w:pPr>
        <w:pStyle w:val="Default"/>
        <w:jc w:val="both"/>
        <w:rPr>
          <w:sz w:val="22"/>
          <w:szCs w:val="22"/>
        </w:rPr>
      </w:pPr>
      <w:r w:rsidRPr="00825B78">
        <w:rPr>
          <w:sz w:val="22"/>
          <w:szCs w:val="22"/>
        </w:rPr>
        <w:t xml:space="preserve">Désormais, la promulgation du volet relatif aux pouvoirs des agents du système d’inspection du travail concerne l’ensemble des niveaux du champ travail des </w:t>
      </w:r>
      <w:proofErr w:type="spellStart"/>
      <w:r w:rsidRPr="00825B78">
        <w:rPr>
          <w:sz w:val="22"/>
          <w:szCs w:val="22"/>
        </w:rPr>
        <w:t>Direccte</w:t>
      </w:r>
      <w:proofErr w:type="spellEnd"/>
      <w:r w:rsidRPr="00825B78">
        <w:rPr>
          <w:sz w:val="22"/>
          <w:szCs w:val="22"/>
        </w:rPr>
        <w:t xml:space="preserve"> (unité de contrôle, unité départementale et niveau régional). </w:t>
      </w:r>
    </w:p>
    <w:p w:rsidR="00BC2151" w:rsidRPr="00825B78" w:rsidRDefault="00BC2151" w:rsidP="00825B78">
      <w:pPr>
        <w:pStyle w:val="Default"/>
        <w:jc w:val="both"/>
        <w:rPr>
          <w:sz w:val="22"/>
          <w:szCs w:val="22"/>
        </w:rPr>
      </w:pPr>
    </w:p>
    <w:p w:rsidR="00BC2151" w:rsidRPr="00825B78" w:rsidRDefault="00BC2151" w:rsidP="00825B78">
      <w:pPr>
        <w:pStyle w:val="Default"/>
        <w:jc w:val="both"/>
        <w:rPr>
          <w:sz w:val="22"/>
          <w:szCs w:val="22"/>
        </w:rPr>
      </w:pPr>
      <w:r w:rsidRPr="00825B78">
        <w:rPr>
          <w:sz w:val="22"/>
          <w:szCs w:val="22"/>
        </w:rPr>
        <w:t xml:space="preserve">Cette ordonnance étend les leviers d’interventions à travers : </w:t>
      </w:r>
    </w:p>
    <w:p w:rsidR="00BC2151" w:rsidRPr="00825B78" w:rsidRDefault="00BC2151" w:rsidP="00825B78">
      <w:pPr>
        <w:pStyle w:val="Default"/>
        <w:jc w:val="both"/>
        <w:rPr>
          <w:sz w:val="22"/>
          <w:szCs w:val="22"/>
        </w:rPr>
      </w:pPr>
    </w:p>
    <w:p w:rsidR="00BC2151" w:rsidRPr="00825B78" w:rsidRDefault="00BC2151" w:rsidP="00825B78">
      <w:pPr>
        <w:pStyle w:val="Default"/>
        <w:numPr>
          <w:ilvl w:val="0"/>
          <w:numId w:val="1"/>
        </w:numPr>
        <w:jc w:val="both"/>
        <w:rPr>
          <w:sz w:val="22"/>
          <w:szCs w:val="22"/>
        </w:rPr>
      </w:pPr>
      <w:r w:rsidRPr="00825B78">
        <w:rPr>
          <w:b/>
          <w:bCs/>
          <w:sz w:val="22"/>
          <w:szCs w:val="22"/>
        </w:rPr>
        <w:t>l’élargissement du champ d’application des moyens de prévention des atteintes à la sécurité et santé des travailleurs par l’extension des dispositifs d’intervention que sont les arrêts de travaux et l’arrêt d’activité</w:t>
      </w:r>
      <w:r w:rsidRPr="00825B78">
        <w:rPr>
          <w:sz w:val="22"/>
          <w:szCs w:val="22"/>
        </w:rPr>
        <w:t>.</w:t>
      </w:r>
    </w:p>
    <w:p w:rsidR="00BC2151" w:rsidRDefault="00BC2151" w:rsidP="00825B78">
      <w:pPr>
        <w:pStyle w:val="Default"/>
        <w:numPr>
          <w:ilvl w:val="1"/>
          <w:numId w:val="1"/>
        </w:numPr>
        <w:jc w:val="both"/>
        <w:rPr>
          <w:sz w:val="22"/>
          <w:szCs w:val="22"/>
        </w:rPr>
      </w:pPr>
      <w:r w:rsidRPr="00825B78">
        <w:rPr>
          <w:sz w:val="22"/>
          <w:szCs w:val="22"/>
        </w:rPr>
        <w:t>Arrêt de travaux en cas d’exposition de salariés à un danger grave et imminent du fait de leur exposition à</w:t>
      </w:r>
      <w:r w:rsidR="00825B78">
        <w:rPr>
          <w:sz w:val="22"/>
          <w:szCs w:val="22"/>
        </w:rPr>
        <w:t xml:space="preserve"> : </w:t>
      </w:r>
    </w:p>
    <w:p w:rsidR="00825B78" w:rsidRPr="00825B78" w:rsidRDefault="00825B78" w:rsidP="00825B78">
      <w:pPr>
        <w:pStyle w:val="Default"/>
        <w:ind w:left="1440"/>
        <w:jc w:val="both"/>
        <w:rPr>
          <w:sz w:val="22"/>
          <w:szCs w:val="22"/>
        </w:rPr>
      </w:pPr>
      <w:r w:rsidRPr="00825B78">
        <w:rPr>
          <w:noProof/>
          <w:sz w:val="22"/>
          <w:szCs w:val="22"/>
          <w:lang w:eastAsia="fr-FR"/>
        </w:rPr>
        <mc:AlternateContent>
          <mc:Choice Requires="wps">
            <w:drawing>
              <wp:anchor distT="0" distB="0" distL="114300" distR="114300" simplePos="0" relativeHeight="251660288" behindDoc="0" locked="0" layoutInCell="1" allowOverlap="1" wp14:anchorId="57771049" wp14:editId="0DB894D1">
                <wp:simplePos x="0" y="0"/>
                <wp:positionH relativeFrom="column">
                  <wp:posOffset>3822065</wp:posOffset>
                </wp:positionH>
                <wp:positionV relativeFrom="paragraph">
                  <wp:posOffset>29845</wp:posOffset>
                </wp:positionV>
                <wp:extent cx="2174240" cy="63817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217424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2151" w:rsidRDefault="00BC2151">
                            <w:r w:rsidRPr="00BC2151">
                              <w:rPr>
                                <w:rFonts w:ascii="Century Gothic" w:hAnsi="Century Gothic" w:cs="Century Gothic"/>
                                <w:color w:val="000000"/>
                                <w:sz w:val="20"/>
                                <w:szCs w:val="20"/>
                              </w:rPr>
                              <w:t>Ces arrêts de travaux existaient déjà mais leur</w:t>
                            </w:r>
                            <w:r>
                              <w:rPr>
                                <w:rFonts w:ascii="Century Gothic" w:hAnsi="Century Gothic" w:cs="Century Gothic"/>
                                <w:color w:val="000000"/>
                                <w:sz w:val="20"/>
                                <w:szCs w:val="20"/>
                              </w:rPr>
                              <w:t xml:space="preserve"> champ d</w:t>
                            </w:r>
                            <w:r w:rsidRPr="00BC2151">
                              <w:rPr>
                                <w:rFonts w:ascii="Century Gothic" w:hAnsi="Century Gothic" w:cs="Century Gothic"/>
                                <w:color w:val="000000"/>
                                <w:sz w:val="20"/>
                                <w:szCs w:val="20"/>
                              </w:rPr>
                              <w:t>’application a été</w:t>
                            </w:r>
                            <w:r>
                              <w:t xml:space="preserve"> élargi.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00.95pt;margin-top:2.35pt;width:171.2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" fillcolor="white [3201]" stroked="f" strokeweight=".5pt">
                <v:textbox>
                  <w:txbxContent>
                    <w:p w:rsidR="00BC2151" w:rsidRDefault="00BC2151">
                      <w:r w:rsidRPr="00BC2151">
                        <w:rPr>
                          <w:rFonts w:ascii="Century Gothic" w:hAnsi="Century Gothic" w:cs="Century Gothic"/>
                          <w:color w:val="000000"/>
                          <w:sz w:val="20"/>
                          <w:szCs w:val="20"/>
                        </w:rPr>
                        <w:t>Ces arrêts de travaux existaient déjà mais leur</w:t>
                      </w:r>
                      <w:r>
                        <w:rPr>
                          <w:rFonts w:ascii="Century Gothic" w:hAnsi="Century Gothic" w:cs="Century Gothic"/>
                          <w:color w:val="000000"/>
                          <w:sz w:val="20"/>
                          <w:szCs w:val="20"/>
                        </w:rPr>
                        <w:t xml:space="preserve"> champ d</w:t>
                      </w:r>
                      <w:r w:rsidRPr="00BC2151">
                        <w:rPr>
                          <w:rFonts w:ascii="Century Gothic" w:hAnsi="Century Gothic" w:cs="Century Gothic"/>
                          <w:color w:val="000000"/>
                          <w:sz w:val="20"/>
                          <w:szCs w:val="20"/>
                        </w:rPr>
                        <w:t>’application a été</w:t>
                      </w:r>
                      <w:r>
                        <w:t xml:space="preserve"> élargi.</w:t>
                      </w:r>
                    </w:p>
                  </w:txbxContent>
                </v:textbox>
              </v:shape>
            </w:pict>
          </mc:Fallback>
        </mc:AlternateContent>
      </w:r>
    </w:p>
    <w:p w:rsidR="00BC2151" w:rsidRPr="00825B78" w:rsidRDefault="00BC2151" w:rsidP="00825B78">
      <w:pPr>
        <w:pStyle w:val="Default"/>
        <w:numPr>
          <w:ilvl w:val="2"/>
          <w:numId w:val="1"/>
        </w:numPr>
        <w:ind w:left="1560"/>
        <w:jc w:val="both"/>
        <w:rPr>
          <w:sz w:val="22"/>
          <w:szCs w:val="22"/>
        </w:rPr>
      </w:pPr>
      <w:r w:rsidRPr="00825B78">
        <w:rPr>
          <w:noProof/>
          <w:sz w:val="22"/>
          <w:szCs w:val="22"/>
          <w:lang w:eastAsia="fr-FR"/>
        </w:rPr>
        <mc:AlternateContent>
          <mc:Choice Requires="wps">
            <w:drawing>
              <wp:anchor distT="0" distB="0" distL="114300" distR="114300" simplePos="0" relativeHeight="251659264" behindDoc="0" locked="0" layoutInCell="1" allowOverlap="1" wp14:anchorId="487DF558" wp14:editId="2339FE4C">
                <wp:simplePos x="0" y="0"/>
                <wp:positionH relativeFrom="column">
                  <wp:posOffset>3634105</wp:posOffset>
                </wp:positionH>
                <wp:positionV relativeFrom="paragraph">
                  <wp:posOffset>-6350</wp:posOffset>
                </wp:positionV>
                <wp:extent cx="178435" cy="504825"/>
                <wp:effectExtent l="0" t="0" r="12065" b="28575"/>
                <wp:wrapNone/>
                <wp:docPr id="1" name="Accolade fermante 1"/>
                <wp:cNvGraphicFramePr/>
                <a:graphic xmlns:a="http://schemas.openxmlformats.org/drawingml/2006/main">
                  <a:graphicData uri="http://schemas.microsoft.com/office/word/2010/wordprocessingShape">
                    <wps:wsp>
                      <wps:cNvSpPr/>
                      <wps:spPr>
                        <a:xfrm>
                          <a:off x="0" y="0"/>
                          <a:ext cx="178435" cy="5048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 o:spid="_x0000_s1026" type="#_x0000_t88" style="position:absolute;margin-left:286.15pt;margin-top:-.5pt;width:14.0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" adj="636" strokecolor="#4579b8 [3044]"/>
            </w:pict>
          </mc:Fallback>
        </mc:AlternateContent>
      </w:r>
      <w:r w:rsidRPr="00825B78">
        <w:rPr>
          <w:sz w:val="22"/>
          <w:szCs w:val="22"/>
        </w:rPr>
        <w:t>Un risque de chute de hauteur</w:t>
      </w:r>
    </w:p>
    <w:p w:rsidR="00BC2151" w:rsidRPr="00825B78" w:rsidRDefault="00BC2151" w:rsidP="00825B78">
      <w:pPr>
        <w:pStyle w:val="Default"/>
        <w:numPr>
          <w:ilvl w:val="2"/>
          <w:numId w:val="1"/>
        </w:numPr>
        <w:ind w:left="1560"/>
        <w:jc w:val="both"/>
        <w:rPr>
          <w:sz w:val="22"/>
          <w:szCs w:val="22"/>
        </w:rPr>
      </w:pPr>
      <w:r w:rsidRPr="00825B78">
        <w:rPr>
          <w:sz w:val="22"/>
          <w:szCs w:val="22"/>
        </w:rPr>
        <w:t>Un risque d’ensevelissement</w:t>
      </w:r>
    </w:p>
    <w:p w:rsidR="00BC2151" w:rsidRPr="00825B78" w:rsidRDefault="00BC2151" w:rsidP="00825B78">
      <w:pPr>
        <w:pStyle w:val="Default"/>
        <w:numPr>
          <w:ilvl w:val="2"/>
          <w:numId w:val="1"/>
        </w:numPr>
        <w:ind w:left="1560"/>
        <w:jc w:val="both"/>
        <w:rPr>
          <w:sz w:val="22"/>
          <w:szCs w:val="22"/>
        </w:rPr>
      </w:pPr>
      <w:r w:rsidRPr="00825B78">
        <w:rPr>
          <w:sz w:val="22"/>
          <w:szCs w:val="22"/>
        </w:rPr>
        <w:t>Un risque lié à l’exposition à l’amiante</w:t>
      </w:r>
    </w:p>
    <w:p w:rsidR="00BC2151" w:rsidRPr="00825B78" w:rsidRDefault="00BC2151" w:rsidP="00825B78">
      <w:pPr>
        <w:pStyle w:val="Default"/>
        <w:numPr>
          <w:ilvl w:val="2"/>
          <w:numId w:val="1"/>
        </w:numPr>
        <w:ind w:left="1560"/>
        <w:jc w:val="both"/>
        <w:rPr>
          <w:sz w:val="22"/>
          <w:szCs w:val="22"/>
        </w:rPr>
      </w:pPr>
      <w:r w:rsidRPr="00825B78">
        <w:rPr>
          <w:sz w:val="22"/>
          <w:szCs w:val="22"/>
        </w:rPr>
        <w:t>Un risque électrique</w:t>
      </w:r>
    </w:p>
    <w:p w:rsidR="00BC2151" w:rsidRPr="00825B78" w:rsidRDefault="00BC2151" w:rsidP="00825B78">
      <w:pPr>
        <w:pStyle w:val="Default"/>
        <w:numPr>
          <w:ilvl w:val="2"/>
          <w:numId w:val="1"/>
        </w:numPr>
        <w:ind w:left="1560"/>
        <w:jc w:val="both"/>
        <w:rPr>
          <w:sz w:val="22"/>
          <w:szCs w:val="22"/>
        </w:rPr>
      </w:pPr>
      <w:r w:rsidRPr="00825B78">
        <w:rPr>
          <w:sz w:val="22"/>
          <w:szCs w:val="22"/>
        </w:rPr>
        <w:t xml:space="preserve">Un </w:t>
      </w:r>
      <w:r w:rsidR="0056049E" w:rsidRPr="00825B78">
        <w:rPr>
          <w:sz w:val="22"/>
          <w:szCs w:val="22"/>
        </w:rPr>
        <w:t>risque lié à un équipement de travail</w:t>
      </w:r>
    </w:p>
    <w:p w:rsidR="0056049E" w:rsidRPr="00825B78" w:rsidRDefault="0056049E" w:rsidP="00825B78">
      <w:pPr>
        <w:pStyle w:val="Default"/>
        <w:jc w:val="both"/>
        <w:rPr>
          <w:sz w:val="22"/>
          <w:szCs w:val="22"/>
        </w:rPr>
      </w:pPr>
    </w:p>
    <w:p w:rsidR="0056049E" w:rsidRPr="00825B78" w:rsidRDefault="0056049E" w:rsidP="00825B78">
      <w:pPr>
        <w:pStyle w:val="Default"/>
        <w:numPr>
          <w:ilvl w:val="1"/>
          <w:numId w:val="1"/>
        </w:numPr>
        <w:jc w:val="both"/>
        <w:rPr>
          <w:sz w:val="22"/>
          <w:szCs w:val="22"/>
        </w:rPr>
      </w:pPr>
      <w:r w:rsidRPr="00825B78">
        <w:rPr>
          <w:sz w:val="22"/>
          <w:szCs w:val="22"/>
        </w:rPr>
        <w:t>Arrêt d’activité en cas de situation dangereuse liée à l’exposition à des produits et substances cancérogènes</w:t>
      </w:r>
    </w:p>
    <w:p w:rsidR="0056049E" w:rsidRPr="00825B78" w:rsidRDefault="0056049E" w:rsidP="00825B78">
      <w:pPr>
        <w:pStyle w:val="Default"/>
        <w:ind w:left="1440"/>
        <w:jc w:val="both"/>
        <w:rPr>
          <w:sz w:val="22"/>
          <w:szCs w:val="22"/>
        </w:rPr>
      </w:pPr>
    </w:p>
    <w:p w:rsidR="00BC2151" w:rsidRPr="00825B78" w:rsidRDefault="00BC2151" w:rsidP="00825B78">
      <w:pPr>
        <w:pStyle w:val="Default"/>
        <w:numPr>
          <w:ilvl w:val="1"/>
          <w:numId w:val="1"/>
        </w:numPr>
        <w:jc w:val="both"/>
        <w:rPr>
          <w:sz w:val="22"/>
          <w:szCs w:val="22"/>
        </w:rPr>
      </w:pPr>
      <w:r w:rsidRPr="00825B78">
        <w:rPr>
          <w:sz w:val="22"/>
          <w:szCs w:val="22"/>
        </w:rPr>
        <w:t xml:space="preserve"> pour les jeunes travailleurs mineurs, en cas de risque sérieux d’atteinte à la santé au travail. </w:t>
      </w:r>
    </w:p>
    <w:p w:rsidR="0056049E" w:rsidRPr="00825B78" w:rsidRDefault="0056049E" w:rsidP="00825B78">
      <w:pPr>
        <w:pStyle w:val="Default"/>
        <w:jc w:val="both"/>
        <w:rPr>
          <w:sz w:val="22"/>
          <w:szCs w:val="22"/>
        </w:rPr>
      </w:pPr>
    </w:p>
    <w:p w:rsidR="00BC2151" w:rsidRPr="00825B78" w:rsidRDefault="00BC2151" w:rsidP="00825B78">
      <w:pPr>
        <w:pStyle w:val="Default"/>
        <w:numPr>
          <w:ilvl w:val="0"/>
          <w:numId w:val="1"/>
        </w:numPr>
        <w:jc w:val="both"/>
        <w:rPr>
          <w:sz w:val="22"/>
          <w:szCs w:val="22"/>
        </w:rPr>
      </w:pPr>
      <w:r w:rsidRPr="00825B78">
        <w:rPr>
          <w:b/>
          <w:bCs/>
          <w:sz w:val="22"/>
          <w:szCs w:val="22"/>
        </w:rPr>
        <w:t>l’accroissement des champs d’investigations des agents de contrôle de l’inspection du travail</w:t>
      </w:r>
      <w:r w:rsidRPr="00825B78">
        <w:rPr>
          <w:sz w:val="22"/>
          <w:szCs w:val="22"/>
        </w:rPr>
        <w:t>,</w:t>
      </w:r>
      <w:r w:rsidR="0056049E" w:rsidRPr="00825B78">
        <w:rPr>
          <w:sz w:val="22"/>
          <w:szCs w:val="22"/>
        </w:rPr>
        <w:t xml:space="preserve"> </w:t>
      </w:r>
      <w:r w:rsidRPr="00825B78">
        <w:rPr>
          <w:sz w:val="22"/>
          <w:szCs w:val="22"/>
        </w:rPr>
        <w:t xml:space="preserve">en facilitant l’accès aux documents en cas d’enquête liée au harcèlement, ainsi qu’en matière de santé et sécurité au travail. S’agissant de ce dernier thème, la possibilité de demander des analyses, mesures et vérifications est élargie. En outre, l’inspection du travail voit sa compétence étendue aux infractions relatives à la traite des êtres humains, au travail forcé et à la réduction en servitude. </w:t>
      </w:r>
    </w:p>
    <w:p w:rsidR="00BC2151" w:rsidRPr="00825B78" w:rsidRDefault="00BC2151" w:rsidP="00825B78">
      <w:pPr>
        <w:pStyle w:val="Default"/>
        <w:jc w:val="both"/>
        <w:rPr>
          <w:sz w:val="22"/>
          <w:szCs w:val="22"/>
        </w:rPr>
      </w:pPr>
    </w:p>
    <w:p w:rsidR="00D54E6D" w:rsidRPr="00D54E6D" w:rsidRDefault="00BC2151" w:rsidP="00D54E6D">
      <w:pPr>
        <w:pStyle w:val="Default"/>
        <w:numPr>
          <w:ilvl w:val="0"/>
          <w:numId w:val="1"/>
        </w:numPr>
        <w:ind w:left="714" w:hanging="357"/>
        <w:jc w:val="both"/>
        <w:rPr>
          <w:rFonts w:cstheme="minorBidi"/>
          <w:color w:val="auto"/>
          <w:sz w:val="22"/>
          <w:szCs w:val="22"/>
        </w:rPr>
      </w:pPr>
      <w:r w:rsidRPr="00D54E6D">
        <w:rPr>
          <w:b/>
          <w:bCs/>
          <w:sz w:val="22"/>
          <w:szCs w:val="22"/>
        </w:rPr>
        <w:lastRenderedPageBreak/>
        <w:t xml:space="preserve">l’augmentation des amendes administratives en cas de non-respect de la mise en demeure du </w:t>
      </w:r>
      <w:proofErr w:type="spellStart"/>
      <w:r w:rsidRPr="00D54E6D">
        <w:rPr>
          <w:b/>
          <w:bCs/>
          <w:sz w:val="22"/>
          <w:szCs w:val="22"/>
        </w:rPr>
        <w:t>Direccte</w:t>
      </w:r>
      <w:proofErr w:type="spellEnd"/>
      <w:r w:rsidR="0056049E" w:rsidRPr="00D54E6D">
        <w:rPr>
          <w:b/>
          <w:bCs/>
          <w:sz w:val="22"/>
          <w:szCs w:val="22"/>
        </w:rPr>
        <w:t xml:space="preserve"> </w:t>
      </w:r>
      <w:r w:rsidRPr="00D54E6D">
        <w:rPr>
          <w:sz w:val="22"/>
          <w:szCs w:val="22"/>
        </w:rPr>
        <w:t xml:space="preserve">(la contravention devient un délit avec une peine de 3 750 €), de manquements en matière de sécurité au travail (10 000 € au lieu de 3 750 €) et d’obstacle à l’exercice des fonctions des agents de contrôle (37 500 € au lieu de 3 750 €). </w:t>
      </w:r>
    </w:p>
    <w:p w:rsidR="00D54E6D" w:rsidRPr="00D54E6D" w:rsidRDefault="00D54E6D" w:rsidP="00D54E6D">
      <w:pPr>
        <w:pStyle w:val="Default"/>
        <w:jc w:val="both"/>
        <w:rPr>
          <w:rFonts w:cstheme="minorBidi"/>
          <w:color w:val="auto"/>
          <w:sz w:val="22"/>
          <w:szCs w:val="22"/>
        </w:rPr>
      </w:pPr>
    </w:p>
    <w:p w:rsidR="00D54E6D" w:rsidRDefault="00BC2151" w:rsidP="00D54E6D">
      <w:pPr>
        <w:pStyle w:val="Default"/>
        <w:numPr>
          <w:ilvl w:val="0"/>
          <w:numId w:val="1"/>
        </w:numPr>
        <w:jc w:val="both"/>
        <w:rPr>
          <w:b/>
          <w:bCs/>
          <w:color w:val="auto"/>
          <w:sz w:val="22"/>
          <w:szCs w:val="22"/>
        </w:rPr>
      </w:pPr>
      <w:r w:rsidRPr="00825B78">
        <w:rPr>
          <w:b/>
          <w:bCs/>
          <w:color w:val="auto"/>
          <w:sz w:val="22"/>
          <w:szCs w:val="22"/>
        </w:rPr>
        <w:t xml:space="preserve">L’extension des sanctions administratives </w:t>
      </w:r>
      <w:r w:rsidRPr="00825B78">
        <w:rPr>
          <w:color w:val="auto"/>
          <w:sz w:val="22"/>
          <w:szCs w:val="22"/>
        </w:rPr>
        <w:t xml:space="preserve">qui, loin de déposséder l’inspection du travail de ses prérogatives, lui donne des modalités d’action efficaces et rapides. </w:t>
      </w:r>
      <w:r w:rsidR="006243AB" w:rsidRPr="00825B78">
        <w:rPr>
          <w:color w:val="auto"/>
          <w:sz w:val="22"/>
          <w:szCs w:val="22"/>
        </w:rPr>
        <w:t>Elles</w:t>
      </w:r>
      <w:r w:rsidR="0056049E" w:rsidRPr="00825B78">
        <w:rPr>
          <w:bCs/>
          <w:color w:val="auto"/>
          <w:sz w:val="22"/>
          <w:szCs w:val="22"/>
        </w:rPr>
        <w:t xml:space="preserve"> sont prévues notamment</w:t>
      </w:r>
      <w:r w:rsidR="00D54E6D">
        <w:rPr>
          <w:bCs/>
          <w:color w:val="auto"/>
          <w:sz w:val="22"/>
          <w:szCs w:val="22"/>
        </w:rPr>
        <w:t xml:space="preserve"> pour</w:t>
      </w:r>
      <w:r w:rsidR="0056049E" w:rsidRPr="00825B78">
        <w:rPr>
          <w:bCs/>
          <w:color w:val="auto"/>
          <w:sz w:val="22"/>
          <w:szCs w:val="22"/>
        </w:rPr>
        <w:t> :</w:t>
      </w:r>
      <w:r w:rsidR="0056049E" w:rsidRPr="00825B78">
        <w:rPr>
          <w:b/>
          <w:bCs/>
          <w:color w:val="auto"/>
          <w:sz w:val="22"/>
          <w:szCs w:val="22"/>
        </w:rPr>
        <w:t xml:space="preserve"> </w:t>
      </w:r>
    </w:p>
    <w:p w:rsidR="00D54E6D" w:rsidRPr="00D54E6D" w:rsidRDefault="00D54E6D" w:rsidP="00D54E6D">
      <w:pPr>
        <w:pStyle w:val="Default"/>
        <w:jc w:val="both"/>
        <w:rPr>
          <w:b/>
          <w:bCs/>
          <w:color w:val="auto"/>
          <w:sz w:val="22"/>
          <w:szCs w:val="22"/>
        </w:rPr>
      </w:pPr>
    </w:p>
    <w:p w:rsidR="006243AB" w:rsidRDefault="006243AB" w:rsidP="00825B78">
      <w:pPr>
        <w:pStyle w:val="Default"/>
        <w:numPr>
          <w:ilvl w:val="0"/>
          <w:numId w:val="3"/>
        </w:numPr>
        <w:jc w:val="both"/>
        <w:rPr>
          <w:b/>
          <w:bCs/>
          <w:i/>
          <w:sz w:val="22"/>
          <w:szCs w:val="22"/>
        </w:rPr>
      </w:pPr>
      <w:r w:rsidRPr="00825B78">
        <w:rPr>
          <w:b/>
          <w:bCs/>
          <w:i/>
          <w:sz w:val="22"/>
          <w:szCs w:val="22"/>
        </w:rPr>
        <w:t xml:space="preserve">les infractions aux lois et règlements relatifs au : </w:t>
      </w:r>
    </w:p>
    <w:p w:rsidR="00D54E6D" w:rsidRPr="00825B78" w:rsidRDefault="00D54E6D" w:rsidP="00D54E6D">
      <w:pPr>
        <w:pStyle w:val="Default"/>
        <w:ind w:left="1776"/>
        <w:jc w:val="both"/>
        <w:rPr>
          <w:b/>
          <w:bCs/>
          <w:i/>
          <w:sz w:val="22"/>
          <w:szCs w:val="22"/>
        </w:rPr>
      </w:pPr>
    </w:p>
    <w:p w:rsidR="006243AB" w:rsidRPr="00825B78" w:rsidRDefault="006243AB" w:rsidP="00825B78">
      <w:pPr>
        <w:pStyle w:val="Default"/>
        <w:numPr>
          <w:ilvl w:val="0"/>
          <w:numId w:val="2"/>
        </w:numPr>
        <w:jc w:val="both"/>
        <w:rPr>
          <w:bCs/>
          <w:sz w:val="22"/>
          <w:szCs w:val="22"/>
        </w:rPr>
      </w:pPr>
      <w:r w:rsidRPr="00825B78">
        <w:rPr>
          <w:bCs/>
          <w:sz w:val="22"/>
          <w:szCs w:val="22"/>
        </w:rPr>
        <w:t xml:space="preserve">Manquement aux durées maximales de travail, repos et décompte durée du travail </w:t>
      </w:r>
    </w:p>
    <w:p w:rsidR="006243AB" w:rsidRPr="00825B78" w:rsidRDefault="006243AB" w:rsidP="00825B78">
      <w:pPr>
        <w:pStyle w:val="Default"/>
        <w:numPr>
          <w:ilvl w:val="0"/>
          <w:numId w:val="2"/>
        </w:numPr>
        <w:jc w:val="both"/>
        <w:rPr>
          <w:bCs/>
          <w:sz w:val="22"/>
          <w:szCs w:val="22"/>
        </w:rPr>
      </w:pPr>
      <w:r w:rsidRPr="00825B78">
        <w:rPr>
          <w:bCs/>
          <w:sz w:val="22"/>
          <w:szCs w:val="22"/>
        </w:rPr>
        <w:t>Non-respect SMIC ou minimum conventionnel</w:t>
      </w:r>
    </w:p>
    <w:p w:rsidR="006243AB" w:rsidRPr="00825B78" w:rsidRDefault="006243AB" w:rsidP="00825B78">
      <w:pPr>
        <w:pStyle w:val="Default"/>
        <w:numPr>
          <w:ilvl w:val="0"/>
          <w:numId w:val="2"/>
        </w:numPr>
        <w:jc w:val="both"/>
        <w:rPr>
          <w:bCs/>
          <w:sz w:val="22"/>
          <w:szCs w:val="22"/>
        </w:rPr>
      </w:pPr>
      <w:r w:rsidRPr="00825B78">
        <w:rPr>
          <w:bCs/>
          <w:sz w:val="22"/>
          <w:szCs w:val="22"/>
        </w:rPr>
        <w:t xml:space="preserve">Emploi d’un travailleur mineur à des travaux interdits ou réglementés sans respect des conditions </w:t>
      </w:r>
    </w:p>
    <w:p w:rsidR="006243AB" w:rsidRPr="00825B78" w:rsidRDefault="006243AB" w:rsidP="00825B78">
      <w:pPr>
        <w:pStyle w:val="Default"/>
        <w:numPr>
          <w:ilvl w:val="0"/>
          <w:numId w:val="2"/>
        </w:numPr>
        <w:jc w:val="both"/>
        <w:rPr>
          <w:bCs/>
          <w:sz w:val="22"/>
          <w:szCs w:val="22"/>
        </w:rPr>
      </w:pPr>
      <w:r w:rsidRPr="00825B78">
        <w:rPr>
          <w:bCs/>
          <w:sz w:val="22"/>
          <w:szCs w:val="22"/>
        </w:rPr>
        <w:t>Non-respect des règles applicables aux installations sanitaires, hébergement et restauration</w:t>
      </w:r>
    </w:p>
    <w:p w:rsidR="006243AB" w:rsidRPr="00825B78" w:rsidRDefault="006243AB" w:rsidP="00825B78">
      <w:pPr>
        <w:pStyle w:val="Default"/>
        <w:numPr>
          <w:ilvl w:val="0"/>
          <w:numId w:val="2"/>
        </w:numPr>
        <w:jc w:val="both"/>
        <w:rPr>
          <w:bCs/>
          <w:sz w:val="22"/>
          <w:szCs w:val="22"/>
        </w:rPr>
      </w:pPr>
      <w:r w:rsidRPr="00825B78">
        <w:rPr>
          <w:bCs/>
          <w:sz w:val="22"/>
          <w:szCs w:val="22"/>
        </w:rPr>
        <w:t xml:space="preserve">Dépassement du plafond autorisé de stagiaires </w:t>
      </w:r>
    </w:p>
    <w:p w:rsidR="006243AB" w:rsidRPr="00825B78" w:rsidRDefault="006243AB" w:rsidP="00825B78">
      <w:pPr>
        <w:pStyle w:val="Default"/>
        <w:numPr>
          <w:ilvl w:val="0"/>
          <w:numId w:val="2"/>
        </w:numPr>
        <w:jc w:val="both"/>
        <w:rPr>
          <w:bCs/>
          <w:sz w:val="22"/>
          <w:szCs w:val="22"/>
        </w:rPr>
      </w:pPr>
      <w:r w:rsidRPr="00825B78">
        <w:rPr>
          <w:bCs/>
          <w:sz w:val="22"/>
          <w:szCs w:val="22"/>
        </w:rPr>
        <w:t xml:space="preserve">Défaut de désignation d’un tuteur pour le stagiaire </w:t>
      </w:r>
    </w:p>
    <w:p w:rsidR="006243AB" w:rsidRPr="00825B78" w:rsidRDefault="006243AB" w:rsidP="00825B78">
      <w:pPr>
        <w:pStyle w:val="Default"/>
        <w:numPr>
          <w:ilvl w:val="0"/>
          <w:numId w:val="2"/>
        </w:numPr>
        <w:jc w:val="both"/>
        <w:rPr>
          <w:bCs/>
          <w:sz w:val="22"/>
          <w:szCs w:val="22"/>
        </w:rPr>
      </w:pPr>
      <w:r w:rsidRPr="00825B78">
        <w:rPr>
          <w:bCs/>
          <w:sz w:val="22"/>
          <w:szCs w:val="22"/>
        </w:rPr>
        <w:t xml:space="preserve">Non-respect des durées de présence du stagiaire </w:t>
      </w:r>
    </w:p>
    <w:p w:rsidR="006243AB" w:rsidRPr="00825B78" w:rsidRDefault="006243AB" w:rsidP="00825B78">
      <w:pPr>
        <w:pStyle w:val="Default"/>
        <w:jc w:val="both"/>
        <w:rPr>
          <w:bCs/>
          <w:sz w:val="22"/>
          <w:szCs w:val="22"/>
        </w:rPr>
      </w:pPr>
    </w:p>
    <w:p w:rsidR="006243AB" w:rsidRPr="00825B78" w:rsidRDefault="006243AB" w:rsidP="00825B78">
      <w:pPr>
        <w:pStyle w:val="Default"/>
        <w:numPr>
          <w:ilvl w:val="0"/>
          <w:numId w:val="3"/>
        </w:numPr>
        <w:jc w:val="both"/>
        <w:rPr>
          <w:b/>
          <w:bCs/>
          <w:i/>
          <w:sz w:val="22"/>
          <w:szCs w:val="22"/>
        </w:rPr>
      </w:pPr>
      <w:r w:rsidRPr="00825B78">
        <w:rPr>
          <w:b/>
          <w:bCs/>
          <w:i/>
          <w:sz w:val="22"/>
          <w:szCs w:val="22"/>
        </w:rPr>
        <w:t>Les amendes pour non-respect d’une décision administrative</w:t>
      </w:r>
    </w:p>
    <w:p w:rsidR="006243AB" w:rsidRPr="00825B78" w:rsidRDefault="006243AB" w:rsidP="00825B78">
      <w:pPr>
        <w:pStyle w:val="Default"/>
        <w:jc w:val="both"/>
        <w:rPr>
          <w:bCs/>
          <w:sz w:val="22"/>
          <w:szCs w:val="22"/>
        </w:rPr>
      </w:pPr>
    </w:p>
    <w:p w:rsidR="006243AB" w:rsidRPr="00825B78" w:rsidRDefault="006243AB" w:rsidP="00825B78">
      <w:pPr>
        <w:pStyle w:val="Default"/>
        <w:numPr>
          <w:ilvl w:val="0"/>
          <w:numId w:val="4"/>
        </w:numPr>
        <w:jc w:val="both"/>
        <w:rPr>
          <w:bCs/>
          <w:sz w:val="22"/>
          <w:szCs w:val="22"/>
        </w:rPr>
      </w:pPr>
      <w:r w:rsidRPr="00825B78">
        <w:rPr>
          <w:bCs/>
          <w:sz w:val="22"/>
          <w:szCs w:val="22"/>
        </w:rPr>
        <w:t xml:space="preserve">Au retrait d’un jeune mineur d’une situation de travail interdite ou règlementée. </w:t>
      </w:r>
    </w:p>
    <w:p w:rsidR="006243AB" w:rsidRPr="00825B78" w:rsidRDefault="006243AB" w:rsidP="00825B78">
      <w:pPr>
        <w:pStyle w:val="Default"/>
        <w:numPr>
          <w:ilvl w:val="0"/>
          <w:numId w:val="4"/>
        </w:numPr>
        <w:jc w:val="both"/>
        <w:rPr>
          <w:bCs/>
          <w:sz w:val="22"/>
          <w:szCs w:val="22"/>
        </w:rPr>
      </w:pPr>
      <w:r w:rsidRPr="00825B78">
        <w:rPr>
          <w:bCs/>
          <w:sz w:val="22"/>
          <w:szCs w:val="22"/>
        </w:rPr>
        <w:t>Aux arrêts de travaux et d’activité.</w:t>
      </w:r>
    </w:p>
    <w:p w:rsidR="006243AB" w:rsidRPr="00825B78" w:rsidRDefault="006243AB" w:rsidP="00825B78">
      <w:pPr>
        <w:pStyle w:val="Default"/>
        <w:numPr>
          <w:ilvl w:val="0"/>
          <w:numId w:val="4"/>
        </w:numPr>
        <w:jc w:val="both"/>
        <w:rPr>
          <w:color w:val="auto"/>
          <w:sz w:val="22"/>
          <w:szCs w:val="22"/>
        </w:rPr>
      </w:pPr>
      <w:r w:rsidRPr="00825B78">
        <w:rPr>
          <w:bCs/>
          <w:sz w:val="22"/>
          <w:szCs w:val="22"/>
        </w:rPr>
        <w:t xml:space="preserve"> Aux demandes de vérification, de mesure ou d’analyse. </w:t>
      </w:r>
    </w:p>
    <w:p w:rsidR="006243AB" w:rsidRPr="00825B78" w:rsidRDefault="006243AB" w:rsidP="00825B78">
      <w:pPr>
        <w:pStyle w:val="Default"/>
        <w:jc w:val="both"/>
        <w:rPr>
          <w:color w:val="auto"/>
          <w:sz w:val="22"/>
          <w:szCs w:val="22"/>
        </w:rPr>
      </w:pPr>
    </w:p>
    <w:p w:rsidR="006243AB" w:rsidRPr="00D54E6D" w:rsidRDefault="006243AB" w:rsidP="00825B78">
      <w:pPr>
        <w:pStyle w:val="Default"/>
        <w:numPr>
          <w:ilvl w:val="0"/>
          <w:numId w:val="1"/>
        </w:numPr>
        <w:jc w:val="both"/>
        <w:rPr>
          <w:bCs/>
          <w:color w:val="auto"/>
          <w:sz w:val="22"/>
          <w:szCs w:val="22"/>
        </w:rPr>
      </w:pPr>
      <w:r w:rsidRPr="00825B78">
        <w:rPr>
          <w:b/>
          <w:bCs/>
          <w:color w:val="auto"/>
          <w:sz w:val="22"/>
          <w:szCs w:val="22"/>
        </w:rPr>
        <w:t xml:space="preserve">La possibilité de recourir à la transaction pénale, </w:t>
      </w:r>
      <w:r w:rsidRPr="00D54E6D">
        <w:rPr>
          <w:bCs/>
          <w:color w:val="auto"/>
          <w:sz w:val="22"/>
          <w:szCs w:val="22"/>
        </w:rPr>
        <w:t xml:space="preserve">homologuée par le procureur de la République pour certaines infractions n’exposant pas à des sanctions pénales excédant 1 an d’emprisonnement. </w:t>
      </w:r>
    </w:p>
    <w:p w:rsidR="006243AB" w:rsidRPr="00825B78" w:rsidRDefault="006243AB" w:rsidP="00825B78">
      <w:pPr>
        <w:pStyle w:val="Default"/>
        <w:jc w:val="both"/>
        <w:rPr>
          <w:color w:val="auto"/>
          <w:sz w:val="22"/>
          <w:szCs w:val="22"/>
        </w:rPr>
      </w:pPr>
    </w:p>
    <w:p w:rsidR="006243AB" w:rsidRPr="00825B78" w:rsidRDefault="006243AB" w:rsidP="00825B78">
      <w:pPr>
        <w:pStyle w:val="Default"/>
        <w:ind w:left="720"/>
        <w:jc w:val="both"/>
        <w:rPr>
          <w:color w:val="auto"/>
          <w:sz w:val="22"/>
          <w:szCs w:val="22"/>
        </w:rPr>
      </w:pPr>
    </w:p>
    <w:p w:rsidR="00AA27B3" w:rsidRDefault="00BC2151" w:rsidP="00825B78">
      <w:pPr>
        <w:jc w:val="both"/>
        <w:rPr>
          <w:rFonts w:ascii="Century Gothic" w:hAnsi="Century Gothic" w:cs="Century Gothic"/>
          <w:color w:val="000000"/>
        </w:rPr>
      </w:pPr>
      <w:r w:rsidRPr="00825B78">
        <w:rPr>
          <w:rFonts w:ascii="Century Gothic" w:hAnsi="Century Gothic" w:cs="Century Gothic"/>
          <w:color w:val="000000"/>
        </w:rPr>
        <w:t>La diversification des modes de sanctions (ordonnance pénale, transaction pénale et sanction administrative) implique</w:t>
      </w:r>
      <w:r w:rsidR="00D54E6D">
        <w:rPr>
          <w:rFonts w:ascii="Century Gothic" w:hAnsi="Century Gothic" w:cs="Century Gothic"/>
          <w:color w:val="000000"/>
        </w:rPr>
        <w:t xml:space="preserve"> une</w:t>
      </w:r>
      <w:r w:rsidRPr="00825B78">
        <w:rPr>
          <w:rFonts w:ascii="Century Gothic" w:hAnsi="Century Gothic" w:cs="Century Gothic"/>
          <w:color w:val="000000"/>
        </w:rPr>
        <w:t xml:space="preserve"> collaboration étroite avec le parquet</w:t>
      </w:r>
      <w:r w:rsidR="00D54E6D">
        <w:rPr>
          <w:rFonts w:ascii="Century Gothic" w:hAnsi="Century Gothic" w:cs="Century Gothic"/>
          <w:color w:val="000000"/>
        </w:rPr>
        <w:t xml:space="preserve"> et </w:t>
      </w:r>
      <w:r w:rsidRPr="00825B78">
        <w:rPr>
          <w:rFonts w:ascii="Century Gothic" w:hAnsi="Century Gothic" w:cs="Century Gothic"/>
          <w:color w:val="000000"/>
        </w:rPr>
        <w:t>le développement d’un travail collaboratif entre les niveaux locaux et régionaux</w:t>
      </w:r>
      <w:r w:rsidR="00D54E6D">
        <w:rPr>
          <w:rFonts w:ascii="Century Gothic" w:hAnsi="Century Gothic" w:cs="Century Gothic"/>
          <w:color w:val="000000"/>
        </w:rPr>
        <w:t xml:space="preserve"> de la DIRECCTE</w:t>
      </w:r>
      <w:r w:rsidRPr="00825B78">
        <w:rPr>
          <w:rFonts w:ascii="Century Gothic" w:hAnsi="Century Gothic" w:cs="Century Gothic"/>
          <w:color w:val="000000"/>
        </w:rPr>
        <w:t>. Cette diversification des sanctions contribuera au respect du droit du travail et à la dignité des travailleurs.</w:t>
      </w:r>
    </w:p>
    <w:p w:rsidR="00AA27B3" w:rsidRDefault="00AA27B3" w:rsidP="00825B78">
      <w:pPr>
        <w:jc w:val="both"/>
        <w:rPr>
          <w:rFonts w:ascii="Century Gothic" w:hAnsi="Century Gothic" w:cs="Century Gothic"/>
          <w:color w:val="000000"/>
        </w:rPr>
      </w:pPr>
    </w:p>
    <w:p w:rsidR="00AA27B3" w:rsidRPr="00AA27B3" w:rsidRDefault="00AA27B3" w:rsidP="00AA27B3">
      <w:pPr>
        <w:jc w:val="both"/>
        <w:rPr>
          <w:rFonts w:ascii="Century Gothic" w:hAnsi="Century Gothic" w:cs="Century Gothic"/>
          <w:color w:val="000000"/>
        </w:rPr>
      </w:pPr>
      <w:r w:rsidRPr="00AA27B3">
        <w:rPr>
          <w:rFonts w:ascii="Century Gothic" w:hAnsi="Century Gothic" w:cs="Century Gothic"/>
          <w:b/>
          <w:color w:val="000000"/>
          <w:u w:val="single"/>
        </w:rPr>
        <w:t>Contact Presse :</w:t>
      </w:r>
      <w:r w:rsidRPr="00AA27B3">
        <w:rPr>
          <w:rFonts w:ascii="Century Gothic" w:hAnsi="Century Gothic" w:cs="Century Gothic"/>
          <w:color w:val="000000"/>
        </w:rPr>
        <w:t xml:space="preserve"> Pierre DUSSIN : 06 38 40 68 85</w:t>
      </w:r>
    </w:p>
    <w:p w:rsidR="00AA27B3" w:rsidRPr="00AA27B3" w:rsidRDefault="00AA27B3" w:rsidP="00AA27B3">
      <w:pPr>
        <w:jc w:val="both"/>
        <w:rPr>
          <w:rFonts w:ascii="Century Gothic" w:hAnsi="Century Gothic" w:cs="Century Gothic"/>
          <w:color w:val="000000"/>
        </w:rPr>
      </w:pPr>
      <w:r w:rsidRPr="00AA27B3">
        <w:rPr>
          <w:rFonts w:ascii="Century Gothic" w:hAnsi="Century Gothic" w:cs="Century Gothic"/>
          <w:color w:val="000000"/>
        </w:rPr>
        <w:tab/>
      </w:r>
      <w:r w:rsidRPr="00AA27B3">
        <w:rPr>
          <w:rFonts w:ascii="Century Gothic" w:hAnsi="Century Gothic" w:cs="Century Gothic"/>
          <w:color w:val="000000"/>
        </w:rPr>
        <w:tab/>
        <w:t xml:space="preserve">    </w:t>
      </w:r>
      <w:r>
        <w:rPr>
          <w:rFonts w:ascii="Century Gothic" w:hAnsi="Century Gothic" w:cs="Century Gothic"/>
          <w:color w:val="000000"/>
        </w:rPr>
        <w:t xml:space="preserve">   </w:t>
      </w:r>
      <w:bookmarkStart w:id="0" w:name="_GoBack"/>
      <w:bookmarkEnd w:id="0"/>
      <w:r w:rsidRPr="00AA27B3">
        <w:rPr>
          <w:rFonts w:ascii="Century Gothic" w:hAnsi="Century Gothic" w:cs="Century Gothic"/>
          <w:color w:val="000000"/>
        </w:rPr>
        <w:t>Laetitia CROIZARD : 06 34 21 40 36</w:t>
      </w:r>
    </w:p>
    <w:sectPr w:rsidR="00AA27B3" w:rsidRPr="00AA27B3" w:rsidSect="00AA27B3">
      <w:headerReference w:type="default" r:id="rId8"/>
      <w:headerReference w:type="first" r:id="rId9"/>
      <w:pgSz w:w="11906" w:h="16838"/>
      <w:pgMar w:top="993"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25" w:rsidRDefault="00DE1625" w:rsidP="00DE1625">
      <w:pPr>
        <w:spacing w:after="0" w:line="240" w:lineRule="auto"/>
      </w:pPr>
      <w:r>
        <w:separator/>
      </w:r>
    </w:p>
  </w:endnote>
  <w:endnote w:type="continuationSeparator" w:id="0">
    <w:p w:rsidR="00DE1625" w:rsidRDefault="00DE1625" w:rsidP="00DE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25" w:rsidRDefault="00DE1625" w:rsidP="00DE1625">
      <w:pPr>
        <w:spacing w:after="0" w:line="240" w:lineRule="auto"/>
      </w:pPr>
      <w:r>
        <w:separator/>
      </w:r>
    </w:p>
  </w:footnote>
  <w:footnote w:type="continuationSeparator" w:id="0">
    <w:p w:rsidR="00DE1625" w:rsidRDefault="00DE1625" w:rsidP="00DE1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625" w:rsidRDefault="00DE1625" w:rsidP="00DE1625">
    <w:pPr>
      <w:pStyle w:val="En-tte"/>
      <w:tabs>
        <w:tab w:val="clear" w:pos="4536"/>
        <w:tab w:val="clear" w:pos="9072"/>
      </w:tabs>
      <w:jc w:val="center"/>
    </w:pPr>
  </w:p>
  <w:p w:rsidR="00DE1625" w:rsidRDefault="00DE162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625" w:rsidRDefault="00DE1625" w:rsidP="00DE1625">
    <w:pPr>
      <w:pStyle w:val="En-tte"/>
      <w:jc w:val="center"/>
    </w:pPr>
    <w:r>
      <w:rPr>
        <w:noProof/>
        <w:lang w:eastAsia="fr-FR"/>
      </w:rPr>
      <w:drawing>
        <wp:inline distT="0" distB="0" distL="0" distR="0" wp14:anchorId="3D949B5A" wp14:editId="091892F5">
          <wp:extent cx="1280160" cy="80454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7733"/>
    <w:multiLevelType w:val="hybridMultilevel"/>
    <w:tmpl w:val="D62ABAC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461A5A"/>
    <w:multiLevelType w:val="hybridMultilevel"/>
    <w:tmpl w:val="6E669786"/>
    <w:lvl w:ilvl="0" w:tplc="040C0017">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nsid w:val="585A3A67"/>
    <w:multiLevelType w:val="hybridMultilevel"/>
    <w:tmpl w:val="A2D07DD0"/>
    <w:lvl w:ilvl="0" w:tplc="1BCCD2A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9917DF9"/>
    <w:multiLevelType w:val="hybridMultilevel"/>
    <w:tmpl w:val="21D2F352"/>
    <w:lvl w:ilvl="0" w:tplc="1BCCD2A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51"/>
    <w:rsid w:val="0056049E"/>
    <w:rsid w:val="006243AB"/>
    <w:rsid w:val="00825B78"/>
    <w:rsid w:val="00AA27B3"/>
    <w:rsid w:val="00BC2151"/>
    <w:rsid w:val="00D45118"/>
    <w:rsid w:val="00D54E6D"/>
    <w:rsid w:val="00DE16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C2151"/>
    <w:pPr>
      <w:autoSpaceDE w:val="0"/>
      <w:autoSpaceDN w:val="0"/>
      <w:adjustRightInd w:val="0"/>
      <w:spacing w:after="0" w:line="240" w:lineRule="auto"/>
    </w:pPr>
    <w:rPr>
      <w:rFonts w:ascii="Century Gothic" w:hAnsi="Century Gothic" w:cs="Century Gothic"/>
      <w:color w:val="000000"/>
      <w:sz w:val="24"/>
      <w:szCs w:val="24"/>
    </w:rPr>
  </w:style>
  <w:style w:type="paragraph" w:styleId="Paragraphedeliste">
    <w:name w:val="List Paragraph"/>
    <w:basedOn w:val="Normal"/>
    <w:uiPriority w:val="34"/>
    <w:qFormat/>
    <w:rsid w:val="0056049E"/>
    <w:pPr>
      <w:ind w:left="720"/>
      <w:contextualSpacing/>
    </w:pPr>
  </w:style>
  <w:style w:type="paragraph" w:styleId="En-tte">
    <w:name w:val="header"/>
    <w:basedOn w:val="Normal"/>
    <w:link w:val="En-tteCar"/>
    <w:uiPriority w:val="99"/>
    <w:unhideWhenUsed/>
    <w:rsid w:val="00DE1625"/>
    <w:pPr>
      <w:tabs>
        <w:tab w:val="center" w:pos="4536"/>
        <w:tab w:val="right" w:pos="9072"/>
      </w:tabs>
      <w:spacing w:after="0" w:line="240" w:lineRule="auto"/>
    </w:pPr>
  </w:style>
  <w:style w:type="character" w:customStyle="1" w:styleId="En-tteCar">
    <w:name w:val="En-tête Car"/>
    <w:basedOn w:val="Policepardfaut"/>
    <w:link w:val="En-tte"/>
    <w:uiPriority w:val="99"/>
    <w:rsid w:val="00DE1625"/>
  </w:style>
  <w:style w:type="paragraph" w:styleId="Pieddepage">
    <w:name w:val="footer"/>
    <w:basedOn w:val="Normal"/>
    <w:link w:val="PieddepageCar"/>
    <w:uiPriority w:val="99"/>
    <w:unhideWhenUsed/>
    <w:rsid w:val="00DE16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1625"/>
  </w:style>
  <w:style w:type="paragraph" w:styleId="Textedebulles">
    <w:name w:val="Balloon Text"/>
    <w:basedOn w:val="Normal"/>
    <w:link w:val="TextedebullesCar"/>
    <w:uiPriority w:val="99"/>
    <w:semiHidden/>
    <w:unhideWhenUsed/>
    <w:rsid w:val="00DE16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1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C2151"/>
    <w:pPr>
      <w:autoSpaceDE w:val="0"/>
      <w:autoSpaceDN w:val="0"/>
      <w:adjustRightInd w:val="0"/>
      <w:spacing w:after="0" w:line="240" w:lineRule="auto"/>
    </w:pPr>
    <w:rPr>
      <w:rFonts w:ascii="Century Gothic" w:hAnsi="Century Gothic" w:cs="Century Gothic"/>
      <w:color w:val="000000"/>
      <w:sz w:val="24"/>
      <w:szCs w:val="24"/>
    </w:rPr>
  </w:style>
  <w:style w:type="paragraph" w:styleId="Paragraphedeliste">
    <w:name w:val="List Paragraph"/>
    <w:basedOn w:val="Normal"/>
    <w:uiPriority w:val="34"/>
    <w:qFormat/>
    <w:rsid w:val="0056049E"/>
    <w:pPr>
      <w:ind w:left="720"/>
      <w:contextualSpacing/>
    </w:pPr>
  </w:style>
  <w:style w:type="paragraph" w:styleId="En-tte">
    <w:name w:val="header"/>
    <w:basedOn w:val="Normal"/>
    <w:link w:val="En-tteCar"/>
    <w:uiPriority w:val="99"/>
    <w:unhideWhenUsed/>
    <w:rsid w:val="00DE1625"/>
    <w:pPr>
      <w:tabs>
        <w:tab w:val="center" w:pos="4536"/>
        <w:tab w:val="right" w:pos="9072"/>
      </w:tabs>
      <w:spacing w:after="0" w:line="240" w:lineRule="auto"/>
    </w:pPr>
  </w:style>
  <w:style w:type="character" w:customStyle="1" w:styleId="En-tteCar">
    <w:name w:val="En-tête Car"/>
    <w:basedOn w:val="Policepardfaut"/>
    <w:link w:val="En-tte"/>
    <w:uiPriority w:val="99"/>
    <w:rsid w:val="00DE1625"/>
  </w:style>
  <w:style w:type="paragraph" w:styleId="Pieddepage">
    <w:name w:val="footer"/>
    <w:basedOn w:val="Normal"/>
    <w:link w:val="PieddepageCar"/>
    <w:uiPriority w:val="99"/>
    <w:unhideWhenUsed/>
    <w:rsid w:val="00DE16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1625"/>
  </w:style>
  <w:style w:type="paragraph" w:styleId="Textedebulles">
    <w:name w:val="Balloon Text"/>
    <w:basedOn w:val="Normal"/>
    <w:link w:val="TextedebullesCar"/>
    <w:uiPriority w:val="99"/>
    <w:semiHidden/>
    <w:unhideWhenUsed/>
    <w:rsid w:val="00DE16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1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3608</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GROSSINMOTTI Thierry (UT041)</dc:creator>
  <cp:lastModifiedBy>NOLLOT Katia (UT041)</cp:lastModifiedBy>
  <cp:revision>2</cp:revision>
  <cp:lastPrinted>2017-03-14T10:39:00Z</cp:lastPrinted>
  <dcterms:created xsi:type="dcterms:W3CDTF">2017-03-14T10:49:00Z</dcterms:created>
  <dcterms:modified xsi:type="dcterms:W3CDTF">2017-03-14T10:49:00Z</dcterms:modified>
</cp:coreProperties>
</file>